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60A" w:rsidRPr="00F47527" w:rsidRDefault="00F47527" w:rsidP="00C0606E">
      <w:pPr>
        <w:pStyle w:val="NoSpacing"/>
        <w:jc w:val="center"/>
        <w:rPr>
          <w:rFonts w:ascii="Arial" w:hAnsi="Arial" w:cs="Arial"/>
          <w:b/>
          <w:color w:val="004833"/>
          <w:sz w:val="20"/>
        </w:rPr>
      </w:pPr>
      <w:bookmarkStart w:id="0" w:name="_GoBack"/>
      <w:bookmarkEnd w:id="0"/>
      <w:r w:rsidRPr="00F47527">
        <w:rPr>
          <w:rFonts w:ascii="Arial" w:hAnsi="Arial" w:cs="Arial"/>
          <w:b/>
          <w:color w:val="004833"/>
          <w:sz w:val="20"/>
        </w:rPr>
        <w:t>APPENDIX</w:t>
      </w:r>
      <w:r w:rsidR="00E62D12" w:rsidRPr="00F47527">
        <w:rPr>
          <w:rFonts w:ascii="Arial" w:hAnsi="Arial" w:cs="Arial"/>
          <w:b/>
          <w:color w:val="004833"/>
          <w:sz w:val="20"/>
        </w:rPr>
        <w:t xml:space="preserve"> A</w:t>
      </w:r>
    </w:p>
    <w:p w:rsidR="005232B8" w:rsidRPr="00C0606E" w:rsidRDefault="005232B8" w:rsidP="000F6DD9">
      <w:pPr>
        <w:pStyle w:val="NoSpacing"/>
        <w:rPr>
          <w:rFonts w:ascii="Arial" w:hAnsi="Arial" w:cs="Arial"/>
        </w:rPr>
      </w:pPr>
    </w:p>
    <w:p w:rsidR="005232B8" w:rsidRPr="00F47527" w:rsidRDefault="005232B8" w:rsidP="00C0606E">
      <w:pPr>
        <w:pStyle w:val="NoSpacing"/>
        <w:jc w:val="center"/>
        <w:rPr>
          <w:rFonts w:ascii="Arial" w:hAnsi="Arial" w:cs="Arial"/>
          <w:color w:val="616061"/>
        </w:rPr>
      </w:pPr>
      <w:r w:rsidRPr="00F47527">
        <w:rPr>
          <w:rFonts w:ascii="Arial" w:hAnsi="Arial" w:cs="Arial"/>
          <w:color w:val="616061"/>
        </w:rPr>
        <w:t xml:space="preserve">County and Municipal Considerations </w:t>
      </w:r>
      <w:r w:rsidR="00E820E8" w:rsidRPr="00F47527">
        <w:rPr>
          <w:rFonts w:ascii="Arial" w:hAnsi="Arial" w:cs="Arial"/>
          <w:color w:val="616061"/>
        </w:rPr>
        <w:t>during</w:t>
      </w:r>
      <w:r w:rsidRPr="00F47527">
        <w:rPr>
          <w:rFonts w:ascii="Arial" w:hAnsi="Arial" w:cs="Arial"/>
          <w:color w:val="616061"/>
        </w:rPr>
        <w:t xml:space="preserve"> the Adverse Action Process</w:t>
      </w:r>
    </w:p>
    <w:p w:rsidR="004D3587" w:rsidRPr="00F47527" w:rsidRDefault="004D3587" w:rsidP="004D3587">
      <w:pPr>
        <w:pStyle w:val="NoSpacing"/>
        <w:rPr>
          <w:rFonts w:ascii="Arial" w:hAnsi="Arial" w:cs="Arial"/>
          <w:color w:val="616061"/>
          <w:vertAlign w:val="superscript"/>
        </w:rPr>
      </w:pPr>
    </w:p>
    <w:p w:rsidR="004D3587" w:rsidRPr="00F47527" w:rsidRDefault="004D3587" w:rsidP="004D3587">
      <w:pPr>
        <w:pStyle w:val="NoSpacing"/>
        <w:rPr>
          <w:rFonts w:ascii="Arial" w:hAnsi="Arial" w:cs="Arial"/>
          <w:color w:val="616061"/>
        </w:rPr>
      </w:pPr>
      <w:r w:rsidRPr="00F47527">
        <w:rPr>
          <w:rFonts w:ascii="Arial" w:hAnsi="Arial" w:cs="Arial"/>
          <w:color w:val="616061"/>
        </w:rPr>
        <w:t xml:space="preserve">The list below is not an all-inclusive list. Seek legal counsel to determine applicable regulations in your specific geographic area. </w:t>
      </w:r>
    </w:p>
    <w:p w:rsidR="004D3587" w:rsidRPr="00F47527" w:rsidRDefault="004D3587" w:rsidP="000F6DD9">
      <w:pPr>
        <w:pStyle w:val="NoSpacing"/>
        <w:rPr>
          <w:rFonts w:ascii="Arial" w:hAnsi="Arial" w:cs="Arial"/>
          <w:color w:val="616061"/>
        </w:rPr>
      </w:pPr>
    </w:p>
    <w:p w:rsidR="004D3587" w:rsidRPr="00F47527" w:rsidRDefault="004D3587" w:rsidP="000F6DD9">
      <w:pPr>
        <w:pStyle w:val="NoSpacing"/>
        <w:rPr>
          <w:rFonts w:ascii="Arial" w:hAnsi="Arial" w:cs="Arial"/>
          <w:color w:val="616061"/>
        </w:rPr>
      </w:pPr>
    </w:p>
    <w:p w:rsidR="004D3587" w:rsidRPr="00F47527" w:rsidRDefault="004D3587" w:rsidP="000F6DD9">
      <w:pPr>
        <w:pStyle w:val="NoSpacing"/>
        <w:rPr>
          <w:rFonts w:ascii="Arial" w:hAnsi="Arial" w:cs="Arial"/>
          <w:color w:val="616061"/>
        </w:rPr>
      </w:pPr>
    </w:p>
    <w:p w:rsidR="000F6DD9" w:rsidRPr="00F47527" w:rsidRDefault="000F6DD9" w:rsidP="000F6DD9">
      <w:pPr>
        <w:pStyle w:val="NoSpacing"/>
        <w:rPr>
          <w:rFonts w:ascii="Arial" w:hAnsi="Arial" w:cs="Arial"/>
          <w:b/>
          <w:color w:val="004833"/>
        </w:rPr>
      </w:pPr>
      <w:r w:rsidRPr="00F47527">
        <w:rPr>
          <w:rFonts w:ascii="Arial" w:hAnsi="Arial" w:cs="Arial"/>
          <w:b/>
          <w:color w:val="004833"/>
        </w:rPr>
        <w:t>Pre-Adverse Action</w:t>
      </w:r>
    </w:p>
    <w:p w:rsidR="000F6DD9" w:rsidRPr="00F47527" w:rsidRDefault="000F6DD9" w:rsidP="000F6DD9">
      <w:pPr>
        <w:pStyle w:val="NoSpacing"/>
        <w:rPr>
          <w:rFonts w:ascii="Arial" w:hAnsi="Arial" w:cs="Arial"/>
          <w:color w:val="616061"/>
        </w:rPr>
      </w:pPr>
    </w:p>
    <w:p w:rsidR="000F6DD9" w:rsidRPr="00F47527" w:rsidRDefault="000F6DD9" w:rsidP="000F6DD9">
      <w:pPr>
        <w:pStyle w:val="NoSpacing"/>
        <w:numPr>
          <w:ilvl w:val="0"/>
          <w:numId w:val="1"/>
        </w:numPr>
        <w:rPr>
          <w:rFonts w:ascii="Arial" w:hAnsi="Arial" w:cs="Arial"/>
          <w:color w:val="616061"/>
        </w:rPr>
      </w:pPr>
      <w:r w:rsidRPr="00F47527">
        <w:rPr>
          <w:rFonts w:ascii="Arial" w:hAnsi="Arial" w:cs="Arial"/>
          <w:color w:val="616061"/>
        </w:rPr>
        <w:t xml:space="preserve">The following jurisdictions have laws that require the </w:t>
      </w:r>
      <w:r w:rsidR="0037760A" w:rsidRPr="00F47527">
        <w:rPr>
          <w:rFonts w:ascii="Arial" w:hAnsi="Arial" w:cs="Arial"/>
          <w:color w:val="616061"/>
        </w:rPr>
        <w:t>p</w:t>
      </w:r>
      <w:r w:rsidRPr="00F47527">
        <w:rPr>
          <w:rFonts w:ascii="Arial" w:hAnsi="Arial" w:cs="Arial"/>
          <w:color w:val="616061"/>
        </w:rPr>
        <w:t>re-</w:t>
      </w:r>
      <w:r w:rsidR="0037760A" w:rsidRPr="00F47527">
        <w:rPr>
          <w:rFonts w:ascii="Arial" w:hAnsi="Arial" w:cs="Arial"/>
          <w:color w:val="616061"/>
        </w:rPr>
        <w:t>a</w:t>
      </w:r>
      <w:r w:rsidRPr="00F47527">
        <w:rPr>
          <w:rFonts w:ascii="Arial" w:hAnsi="Arial" w:cs="Arial"/>
          <w:color w:val="616061"/>
        </w:rPr>
        <w:t xml:space="preserve">dverse </w:t>
      </w:r>
      <w:r w:rsidR="0037760A" w:rsidRPr="00F47527">
        <w:rPr>
          <w:rFonts w:ascii="Arial" w:hAnsi="Arial" w:cs="Arial"/>
          <w:color w:val="616061"/>
        </w:rPr>
        <w:t>a</w:t>
      </w:r>
      <w:r w:rsidRPr="00F47527">
        <w:rPr>
          <w:rFonts w:ascii="Arial" w:hAnsi="Arial" w:cs="Arial"/>
          <w:color w:val="616061"/>
        </w:rPr>
        <w:t xml:space="preserve">ction letter to identify the specific items contained in the report that contributed to an adverse action against a consumer </w:t>
      </w:r>
      <w:r w:rsidRPr="00F47527">
        <w:rPr>
          <w:rFonts w:ascii="Arial" w:hAnsi="Arial" w:cs="Arial"/>
          <w:color w:val="616061"/>
          <w:u w:val="single"/>
        </w:rPr>
        <w:t>being</w:t>
      </w:r>
      <w:r w:rsidRPr="00F47527">
        <w:rPr>
          <w:rFonts w:ascii="Arial" w:hAnsi="Arial" w:cs="Arial"/>
          <w:color w:val="616061"/>
        </w:rPr>
        <w:t xml:space="preserve"> </w:t>
      </w:r>
      <w:r w:rsidRPr="00F47527">
        <w:rPr>
          <w:rFonts w:ascii="Arial" w:hAnsi="Arial" w:cs="Arial"/>
          <w:color w:val="616061"/>
          <w:u w:val="single"/>
        </w:rPr>
        <w:t>considered</w:t>
      </w:r>
      <w:r w:rsidRPr="00F47527">
        <w:rPr>
          <w:rFonts w:ascii="Arial" w:hAnsi="Arial" w:cs="Arial"/>
          <w:color w:val="616061"/>
        </w:rPr>
        <w:t xml:space="preserve"> based on the contents of the consumer report:</w:t>
      </w:r>
    </w:p>
    <w:p w:rsidR="000F6DD9" w:rsidRPr="00F47527" w:rsidRDefault="000F6DD9" w:rsidP="000F6DD9">
      <w:pPr>
        <w:pStyle w:val="NoSpacing"/>
        <w:numPr>
          <w:ilvl w:val="0"/>
          <w:numId w:val="2"/>
        </w:numPr>
        <w:rPr>
          <w:rFonts w:ascii="Arial" w:hAnsi="Arial" w:cs="Arial"/>
          <w:color w:val="616061"/>
        </w:rPr>
      </w:pPr>
      <w:r w:rsidRPr="00F47527">
        <w:rPr>
          <w:rFonts w:ascii="Arial" w:hAnsi="Arial" w:cs="Arial"/>
          <w:color w:val="616061"/>
        </w:rPr>
        <w:t>San Francisco (CA)</w:t>
      </w:r>
    </w:p>
    <w:p w:rsidR="000F6DD9" w:rsidRPr="00F47527" w:rsidRDefault="00525366" w:rsidP="000F6DD9">
      <w:pPr>
        <w:pStyle w:val="NoSpacing"/>
        <w:numPr>
          <w:ilvl w:val="0"/>
          <w:numId w:val="2"/>
        </w:numPr>
        <w:rPr>
          <w:rFonts w:ascii="Arial" w:hAnsi="Arial" w:cs="Arial"/>
          <w:color w:val="616061"/>
        </w:rPr>
      </w:pPr>
      <w:r w:rsidRPr="00F47527">
        <w:rPr>
          <w:rFonts w:ascii="Arial" w:hAnsi="Arial" w:cs="Arial"/>
          <w:color w:val="616061"/>
        </w:rPr>
        <w:t>Seattle (WA)</w:t>
      </w:r>
    </w:p>
    <w:p w:rsidR="000F6DD9" w:rsidRPr="00F47527" w:rsidRDefault="000F6DD9" w:rsidP="000F6DD9">
      <w:pPr>
        <w:pStyle w:val="NoSpacing"/>
        <w:numPr>
          <w:ilvl w:val="0"/>
          <w:numId w:val="2"/>
        </w:numPr>
        <w:rPr>
          <w:rFonts w:ascii="Arial" w:hAnsi="Arial" w:cs="Arial"/>
          <w:color w:val="616061"/>
        </w:rPr>
      </w:pPr>
      <w:r w:rsidRPr="00F47527">
        <w:rPr>
          <w:rFonts w:ascii="Arial" w:hAnsi="Arial" w:cs="Arial"/>
          <w:color w:val="616061"/>
        </w:rPr>
        <w:t>Montgomery County (MD)</w:t>
      </w:r>
    </w:p>
    <w:p w:rsidR="000F6DD9" w:rsidRPr="00F47527" w:rsidRDefault="000F6DD9" w:rsidP="000F6DD9">
      <w:pPr>
        <w:pStyle w:val="NoSpacing"/>
        <w:numPr>
          <w:ilvl w:val="0"/>
          <w:numId w:val="2"/>
        </w:numPr>
        <w:rPr>
          <w:rFonts w:ascii="Arial" w:hAnsi="Arial" w:cs="Arial"/>
          <w:color w:val="616061"/>
        </w:rPr>
      </w:pPr>
      <w:r w:rsidRPr="00F47527">
        <w:rPr>
          <w:rFonts w:ascii="Arial" w:hAnsi="Arial" w:cs="Arial"/>
          <w:color w:val="616061"/>
        </w:rPr>
        <w:t xml:space="preserve">Prince George’s County (MD)  </w:t>
      </w:r>
    </w:p>
    <w:p w:rsidR="000F6DD9" w:rsidRPr="00F47527" w:rsidRDefault="000F6DD9" w:rsidP="000F6DD9">
      <w:pPr>
        <w:pStyle w:val="NoSpacing"/>
        <w:rPr>
          <w:rFonts w:ascii="Arial" w:hAnsi="Arial" w:cs="Arial"/>
          <w:color w:val="616061"/>
          <w:u w:val="single"/>
        </w:rPr>
      </w:pPr>
    </w:p>
    <w:p w:rsidR="000F6DD9" w:rsidRPr="00F47527" w:rsidRDefault="000F6DD9" w:rsidP="0037760A">
      <w:pPr>
        <w:pStyle w:val="NoSpacing"/>
        <w:numPr>
          <w:ilvl w:val="0"/>
          <w:numId w:val="1"/>
        </w:numPr>
        <w:rPr>
          <w:rFonts w:ascii="Arial" w:hAnsi="Arial" w:cs="Arial"/>
          <w:color w:val="616061"/>
        </w:rPr>
      </w:pPr>
      <w:r w:rsidRPr="00F47527">
        <w:rPr>
          <w:rFonts w:ascii="Arial" w:hAnsi="Arial" w:cs="Arial"/>
          <w:color w:val="616061"/>
        </w:rPr>
        <w:t>The following jurisdictions require a seven (7) day waiting period between the pre-</w:t>
      </w:r>
      <w:r w:rsidR="0037760A" w:rsidRPr="00F47527">
        <w:rPr>
          <w:rFonts w:ascii="Arial" w:hAnsi="Arial" w:cs="Arial"/>
          <w:color w:val="616061"/>
        </w:rPr>
        <w:t>adverse</w:t>
      </w:r>
      <w:r w:rsidRPr="00F47527">
        <w:rPr>
          <w:rFonts w:ascii="Arial" w:hAnsi="Arial" w:cs="Arial"/>
          <w:color w:val="616061"/>
        </w:rPr>
        <w:t xml:space="preserve"> and adverse action stages</w:t>
      </w:r>
      <w:r w:rsidR="0037760A" w:rsidRPr="00F47527">
        <w:rPr>
          <w:rFonts w:ascii="Arial" w:hAnsi="Arial" w:cs="Arial"/>
          <w:color w:val="616061"/>
        </w:rPr>
        <w:t xml:space="preserve">. </w:t>
      </w:r>
    </w:p>
    <w:p w:rsidR="0037760A" w:rsidRPr="00F47527" w:rsidRDefault="000F6DD9" w:rsidP="0037760A">
      <w:pPr>
        <w:pStyle w:val="NoSpacing"/>
        <w:numPr>
          <w:ilvl w:val="0"/>
          <w:numId w:val="3"/>
        </w:numPr>
        <w:ind w:left="1080"/>
        <w:rPr>
          <w:rFonts w:ascii="Arial" w:hAnsi="Arial" w:cs="Arial"/>
          <w:color w:val="616061"/>
        </w:rPr>
      </w:pPr>
      <w:r w:rsidRPr="00F47527">
        <w:rPr>
          <w:rFonts w:ascii="Arial" w:hAnsi="Arial" w:cs="Arial"/>
          <w:color w:val="616061"/>
        </w:rPr>
        <w:t>San Francisco</w:t>
      </w:r>
      <w:r w:rsidR="0037760A" w:rsidRPr="00F47527">
        <w:rPr>
          <w:rFonts w:ascii="Arial" w:hAnsi="Arial" w:cs="Arial"/>
          <w:color w:val="616061"/>
        </w:rPr>
        <w:t xml:space="preserve"> (</w:t>
      </w:r>
      <w:r w:rsidRPr="00F47527">
        <w:rPr>
          <w:rFonts w:ascii="Arial" w:hAnsi="Arial" w:cs="Arial"/>
          <w:color w:val="616061"/>
        </w:rPr>
        <w:t>CA</w:t>
      </w:r>
      <w:r w:rsidR="0037760A" w:rsidRPr="00F47527">
        <w:rPr>
          <w:rFonts w:ascii="Arial" w:hAnsi="Arial" w:cs="Arial"/>
          <w:color w:val="616061"/>
        </w:rPr>
        <w:t>)</w:t>
      </w:r>
    </w:p>
    <w:p w:rsidR="0037760A" w:rsidRPr="00F47527" w:rsidRDefault="000F6DD9" w:rsidP="0037760A">
      <w:pPr>
        <w:pStyle w:val="NoSpacing"/>
        <w:numPr>
          <w:ilvl w:val="0"/>
          <w:numId w:val="3"/>
        </w:numPr>
        <w:ind w:left="1080"/>
        <w:rPr>
          <w:rFonts w:ascii="Arial" w:hAnsi="Arial" w:cs="Arial"/>
          <w:color w:val="616061"/>
        </w:rPr>
      </w:pPr>
      <w:r w:rsidRPr="00F47527">
        <w:rPr>
          <w:rFonts w:ascii="Arial" w:hAnsi="Arial" w:cs="Arial"/>
          <w:color w:val="616061"/>
        </w:rPr>
        <w:t xml:space="preserve">Montgomery County (MD) </w:t>
      </w:r>
    </w:p>
    <w:p w:rsidR="000F6DD9" w:rsidRPr="00F47527" w:rsidRDefault="000F6DD9" w:rsidP="0037760A">
      <w:pPr>
        <w:pStyle w:val="NoSpacing"/>
        <w:numPr>
          <w:ilvl w:val="0"/>
          <w:numId w:val="3"/>
        </w:numPr>
        <w:ind w:left="1080"/>
        <w:rPr>
          <w:rFonts w:ascii="Arial" w:hAnsi="Arial" w:cs="Arial"/>
          <w:color w:val="616061"/>
        </w:rPr>
      </w:pPr>
      <w:r w:rsidRPr="00F47527">
        <w:rPr>
          <w:rFonts w:ascii="Arial" w:hAnsi="Arial" w:cs="Arial"/>
          <w:color w:val="616061"/>
        </w:rPr>
        <w:t xml:space="preserve">Prince George’s </w:t>
      </w:r>
      <w:r w:rsidR="0037760A" w:rsidRPr="00F47527">
        <w:rPr>
          <w:rFonts w:ascii="Arial" w:hAnsi="Arial" w:cs="Arial"/>
          <w:color w:val="616061"/>
        </w:rPr>
        <w:t>County (MD)</w:t>
      </w:r>
    </w:p>
    <w:p w:rsidR="000F6DD9" w:rsidRPr="00F47527" w:rsidRDefault="000F6DD9" w:rsidP="0037760A">
      <w:pPr>
        <w:pStyle w:val="NoSpacing"/>
        <w:ind w:left="360"/>
        <w:rPr>
          <w:rFonts w:ascii="Arial" w:hAnsi="Arial" w:cs="Arial"/>
          <w:color w:val="616061"/>
        </w:rPr>
      </w:pPr>
    </w:p>
    <w:p w:rsidR="000F6DD9" w:rsidRPr="00F47527" w:rsidRDefault="000F6DD9" w:rsidP="000F6DD9">
      <w:pPr>
        <w:pStyle w:val="NoSpacing"/>
        <w:rPr>
          <w:rFonts w:ascii="Arial" w:hAnsi="Arial" w:cs="Arial"/>
          <w:color w:val="616061"/>
        </w:rPr>
      </w:pPr>
    </w:p>
    <w:p w:rsidR="005C17A0" w:rsidRPr="00F47527" w:rsidRDefault="000C434D" w:rsidP="000F6DD9">
      <w:pPr>
        <w:pStyle w:val="NoSpacing"/>
        <w:rPr>
          <w:rFonts w:ascii="Arial" w:hAnsi="Arial" w:cs="Arial"/>
          <w:b/>
          <w:color w:val="004833"/>
        </w:rPr>
      </w:pPr>
      <w:r w:rsidRPr="00F47527">
        <w:rPr>
          <w:rFonts w:ascii="Arial" w:hAnsi="Arial" w:cs="Arial"/>
          <w:b/>
          <w:color w:val="004833"/>
        </w:rPr>
        <w:t>Adverse Action</w:t>
      </w:r>
    </w:p>
    <w:p w:rsidR="000F6DD9" w:rsidRPr="00F47527" w:rsidRDefault="000F6DD9" w:rsidP="000F6DD9">
      <w:pPr>
        <w:pStyle w:val="NoSpacing"/>
        <w:rPr>
          <w:rFonts w:ascii="Arial" w:hAnsi="Arial" w:cs="Arial"/>
          <w:color w:val="616061"/>
        </w:rPr>
      </w:pPr>
    </w:p>
    <w:p w:rsidR="000C434D" w:rsidRPr="00F47527" w:rsidRDefault="000C434D" w:rsidP="0037760A">
      <w:pPr>
        <w:pStyle w:val="NoSpacing"/>
        <w:numPr>
          <w:ilvl w:val="0"/>
          <w:numId w:val="4"/>
        </w:numPr>
        <w:rPr>
          <w:rFonts w:ascii="Arial" w:hAnsi="Arial" w:cs="Arial"/>
          <w:color w:val="616061"/>
        </w:rPr>
      </w:pPr>
      <w:r w:rsidRPr="00F47527">
        <w:rPr>
          <w:rFonts w:ascii="Arial" w:hAnsi="Arial" w:cs="Arial"/>
          <w:color w:val="616061"/>
        </w:rPr>
        <w:t xml:space="preserve">The following jurisdictions have laws that require the Adverse Action letter to identify the specific items contained in the report that contributed to </w:t>
      </w:r>
      <w:r w:rsidR="000F6DD9" w:rsidRPr="00F47527">
        <w:rPr>
          <w:rFonts w:ascii="Arial" w:hAnsi="Arial" w:cs="Arial"/>
          <w:color w:val="616061"/>
        </w:rPr>
        <w:t>an</w:t>
      </w:r>
      <w:r w:rsidRPr="00F47527">
        <w:rPr>
          <w:rFonts w:ascii="Arial" w:hAnsi="Arial" w:cs="Arial"/>
          <w:color w:val="616061"/>
        </w:rPr>
        <w:t xml:space="preserve"> adverse action against a consumer </w:t>
      </w:r>
      <w:r w:rsidR="000F6DD9" w:rsidRPr="00F47527">
        <w:rPr>
          <w:rFonts w:ascii="Arial" w:hAnsi="Arial" w:cs="Arial"/>
          <w:color w:val="616061"/>
          <w:u w:val="single"/>
        </w:rPr>
        <w:t>being taken</w:t>
      </w:r>
      <w:r w:rsidR="000F6DD9" w:rsidRPr="00F47527">
        <w:rPr>
          <w:rFonts w:ascii="Arial" w:hAnsi="Arial" w:cs="Arial"/>
          <w:color w:val="616061"/>
        </w:rPr>
        <w:t xml:space="preserve"> </w:t>
      </w:r>
      <w:r w:rsidRPr="00F47527">
        <w:rPr>
          <w:rFonts w:ascii="Arial" w:hAnsi="Arial" w:cs="Arial"/>
          <w:color w:val="616061"/>
        </w:rPr>
        <w:t>based on the contents of the consumer report:</w:t>
      </w:r>
    </w:p>
    <w:p w:rsidR="000C434D" w:rsidRPr="00F47527" w:rsidRDefault="000C434D" w:rsidP="0037760A">
      <w:pPr>
        <w:pStyle w:val="NoSpacing"/>
        <w:numPr>
          <w:ilvl w:val="0"/>
          <w:numId w:val="5"/>
        </w:numPr>
        <w:rPr>
          <w:rFonts w:ascii="Arial" w:hAnsi="Arial" w:cs="Arial"/>
          <w:color w:val="616061"/>
        </w:rPr>
      </w:pPr>
      <w:r w:rsidRPr="00F47527">
        <w:rPr>
          <w:rFonts w:ascii="Arial" w:hAnsi="Arial" w:cs="Arial"/>
          <w:color w:val="616061"/>
        </w:rPr>
        <w:t>San Francisco (CA)</w:t>
      </w:r>
    </w:p>
    <w:p w:rsidR="000C434D" w:rsidRPr="00F47527" w:rsidRDefault="000C434D" w:rsidP="0037760A">
      <w:pPr>
        <w:pStyle w:val="NoSpacing"/>
        <w:numPr>
          <w:ilvl w:val="0"/>
          <w:numId w:val="5"/>
        </w:numPr>
        <w:rPr>
          <w:rFonts w:ascii="Arial" w:hAnsi="Arial" w:cs="Arial"/>
          <w:color w:val="616061"/>
        </w:rPr>
      </w:pPr>
      <w:r w:rsidRPr="00F47527">
        <w:rPr>
          <w:rFonts w:ascii="Arial" w:hAnsi="Arial" w:cs="Arial"/>
          <w:color w:val="616061"/>
        </w:rPr>
        <w:t>Chicago (IL)</w:t>
      </w:r>
    </w:p>
    <w:p w:rsidR="000C434D" w:rsidRPr="00F47527" w:rsidRDefault="000C434D" w:rsidP="0037760A">
      <w:pPr>
        <w:pStyle w:val="NoSpacing"/>
        <w:numPr>
          <w:ilvl w:val="0"/>
          <w:numId w:val="5"/>
        </w:numPr>
        <w:rPr>
          <w:rFonts w:ascii="Arial" w:hAnsi="Arial" w:cs="Arial"/>
          <w:color w:val="616061"/>
        </w:rPr>
      </w:pPr>
      <w:r w:rsidRPr="00F47527">
        <w:rPr>
          <w:rFonts w:ascii="Arial" w:hAnsi="Arial" w:cs="Arial"/>
          <w:color w:val="616061"/>
        </w:rPr>
        <w:t>Montgomery County (MD)</w:t>
      </w:r>
    </w:p>
    <w:p w:rsidR="000C434D" w:rsidRPr="00F47527" w:rsidRDefault="000C434D" w:rsidP="0037760A">
      <w:pPr>
        <w:pStyle w:val="NoSpacing"/>
        <w:numPr>
          <w:ilvl w:val="0"/>
          <w:numId w:val="5"/>
        </w:numPr>
        <w:rPr>
          <w:rFonts w:ascii="Arial" w:hAnsi="Arial" w:cs="Arial"/>
          <w:color w:val="616061"/>
        </w:rPr>
      </w:pPr>
      <w:r w:rsidRPr="00F47527">
        <w:rPr>
          <w:rFonts w:ascii="Arial" w:hAnsi="Arial" w:cs="Arial"/>
          <w:color w:val="616061"/>
        </w:rPr>
        <w:t xml:space="preserve">Prince George’s County (MD)  </w:t>
      </w:r>
    </w:p>
    <w:p w:rsidR="000C434D" w:rsidRPr="00F47527" w:rsidRDefault="000C434D" w:rsidP="0037760A">
      <w:pPr>
        <w:pStyle w:val="NoSpacing"/>
        <w:numPr>
          <w:ilvl w:val="0"/>
          <w:numId w:val="5"/>
        </w:numPr>
        <w:rPr>
          <w:rFonts w:ascii="Arial" w:hAnsi="Arial" w:cs="Arial"/>
          <w:color w:val="616061"/>
        </w:rPr>
      </w:pPr>
      <w:r w:rsidRPr="00F47527">
        <w:rPr>
          <w:rFonts w:ascii="Arial" w:hAnsi="Arial" w:cs="Arial"/>
          <w:color w:val="616061"/>
        </w:rPr>
        <w:t xml:space="preserve">Seattle (WA)  </w:t>
      </w:r>
    </w:p>
    <w:p w:rsidR="000C434D" w:rsidRPr="00F47527" w:rsidRDefault="000C434D" w:rsidP="000F6DD9">
      <w:pPr>
        <w:pStyle w:val="NoSpacing"/>
        <w:rPr>
          <w:rFonts w:ascii="Arial" w:hAnsi="Arial" w:cs="Arial"/>
          <w:color w:val="616061"/>
        </w:rPr>
      </w:pPr>
    </w:p>
    <w:p w:rsidR="00E47CA8" w:rsidRPr="00F47527" w:rsidRDefault="00E47CA8" w:rsidP="000F6DD9">
      <w:pPr>
        <w:pStyle w:val="NoSpacing"/>
        <w:rPr>
          <w:rFonts w:ascii="Arial" w:hAnsi="Arial" w:cs="Arial"/>
          <w:color w:val="616061"/>
        </w:rPr>
      </w:pPr>
    </w:p>
    <w:p w:rsidR="00E47CA8" w:rsidRPr="00F47527" w:rsidRDefault="00C0606E" w:rsidP="000F6DD9">
      <w:pPr>
        <w:pStyle w:val="NoSpacing"/>
        <w:rPr>
          <w:rFonts w:ascii="Arial" w:hAnsi="Arial" w:cs="Arial"/>
          <w:color w:val="616061"/>
        </w:rPr>
      </w:pPr>
      <w:r w:rsidRPr="00F47527">
        <w:rPr>
          <w:rFonts w:ascii="Arial" w:hAnsi="Arial" w:cs="Arial"/>
          <w:color w:val="616061"/>
        </w:rPr>
        <w:t xml:space="preserve">Important note: </w:t>
      </w:r>
      <w:r w:rsidR="00E47CA8" w:rsidRPr="00F47527">
        <w:rPr>
          <w:rStyle w:val="A4"/>
          <w:rFonts w:ascii="Arial" w:hAnsi="Arial" w:cs="Arial"/>
          <w:color w:val="616061"/>
          <w:sz w:val="22"/>
          <w:szCs w:val="22"/>
        </w:rPr>
        <w:t>Validity’s eJobApp features an FCRA Compliance Manager which is designed to maintain a user’s compliance with the federal Fair Credit Reporting Act (FCRA), the federal Fair and Accurate Credit Transaction Act (FACTA) and individual state regulations. It is not designed to maintain user’s compliance at the county or municipal level.</w:t>
      </w:r>
    </w:p>
    <w:sectPr w:rsidR="00E47CA8" w:rsidRPr="00F47527" w:rsidSect="005C17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6EB" w:rsidRDefault="008F16EB" w:rsidP="004D3587">
      <w:pPr>
        <w:spacing w:after="0" w:line="240" w:lineRule="auto"/>
      </w:pPr>
      <w:r>
        <w:separator/>
      </w:r>
    </w:p>
  </w:endnote>
  <w:endnote w:type="continuationSeparator" w:id="0">
    <w:p w:rsidR="008F16EB" w:rsidRDefault="008F16EB" w:rsidP="004D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aparral Pro">
    <w:altName w:val="Chaparral Pro"/>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66" w:rsidRPr="004D3587" w:rsidRDefault="00525366">
    <w:pPr>
      <w:pStyle w:val="Footer"/>
      <w:rPr>
        <w:rFonts w:ascii="Arial" w:hAnsi="Arial" w:cs="Arial"/>
      </w:rPr>
    </w:pPr>
    <w:r w:rsidRPr="004D3587">
      <w:rPr>
        <w:rFonts w:ascii="Arial" w:hAnsi="Arial" w:cs="Arial"/>
      </w:rPr>
      <w:t>Updated Date: July 1, 2015</w:t>
    </w:r>
  </w:p>
  <w:p w:rsidR="00525366" w:rsidRDefault="00525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6EB" w:rsidRDefault="008F16EB" w:rsidP="004D3587">
      <w:pPr>
        <w:spacing w:after="0" w:line="240" w:lineRule="auto"/>
      </w:pPr>
      <w:r>
        <w:separator/>
      </w:r>
    </w:p>
  </w:footnote>
  <w:footnote w:type="continuationSeparator" w:id="0">
    <w:p w:rsidR="008F16EB" w:rsidRDefault="008F16EB" w:rsidP="004D3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66" w:rsidRPr="00F47527" w:rsidRDefault="00525366">
    <w:pPr>
      <w:pStyle w:val="Header"/>
      <w:rPr>
        <w:color w:val="616061"/>
      </w:rPr>
    </w:pPr>
    <w:r w:rsidRPr="00F47527">
      <w:rPr>
        <w:rFonts w:ascii="Arial" w:hAnsi="Arial" w:cs="Arial"/>
        <w:i/>
        <w:color w:val="616061"/>
      </w:rPr>
      <w:t>Sample documents should NOT be construed as lega</w:t>
    </w:r>
    <w:r w:rsidR="00F47527" w:rsidRPr="00F47527">
      <w:rPr>
        <w:rFonts w:ascii="Arial" w:hAnsi="Arial" w:cs="Arial"/>
        <w:i/>
        <w:color w:val="616061"/>
      </w:rPr>
      <w:t xml:space="preserve">l advice, guidance or counsel. </w:t>
    </w:r>
    <w:r w:rsidRPr="00F47527">
      <w:rPr>
        <w:rFonts w:ascii="Arial" w:hAnsi="Arial" w:cs="Arial"/>
        <w:i/>
        <w:color w:val="616061"/>
      </w:rPr>
      <w:t>Organizations should consult their own attorney about their compliance responsibilities under the FCRA and applicable state</w:t>
    </w:r>
    <w:r w:rsidR="004872E0" w:rsidRPr="00F47527">
      <w:rPr>
        <w:rFonts w:ascii="Arial" w:hAnsi="Arial" w:cs="Arial"/>
        <w:i/>
        <w:color w:val="616061"/>
      </w:rPr>
      <w:t>, county, and municipal law</w:t>
    </w:r>
    <w:r w:rsidRPr="00F47527">
      <w:rPr>
        <w:rFonts w:ascii="Arial" w:hAnsi="Arial" w:cs="Arial"/>
        <w:i/>
        <w:color w:val="616061"/>
      </w:rPr>
      <w:t xml:space="preserve">. </w:t>
    </w:r>
    <w:r w:rsidRPr="00F47527">
      <w:rPr>
        <w:rFonts w:ascii="Arial" w:hAnsi="Arial" w:cs="Arial"/>
        <w:i/>
        <w:color w:val="616061"/>
        <w:szCs w:val="21"/>
      </w:rPr>
      <w:t>Validity Screening Solutions</w:t>
    </w:r>
    <w:r w:rsidRPr="00F47527">
      <w:rPr>
        <w:rFonts w:ascii="Arial" w:hAnsi="Arial" w:cs="Arial"/>
        <w:i/>
        <w:color w:val="616061"/>
      </w:rPr>
      <w:t xml:space="preserve"> expressly disclaims any warranties or responsibility or damages associated with or arising out of information provided. </w:t>
    </w:r>
    <w:r w:rsidR="00E62D12" w:rsidRPr="00F47527">
      <w:rPr>
        <w:rFonts w:ascii="Arial" w:hAnsi="Arial" w:cs="Arial"/>
        <w:i/>
        <w:color w:val="616061"/>
      </w:rPr>
      <w:t>Organizations seeking credit reports must provide additional notices pursuant to state law.</w:t>
    </w:r>
  </w:p>
  <w:p w:rsidR="00525366" w:rsidRDefault="005253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87B2E"/>
    <w:multiLevelType w:val="hybridMultilevel"/>
    <w:tmpl w:val="B9465C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D640C7"/>
    <w:multiLevelType w:val="hybridMultilevel"/>
    <w:tmpl w:val="838AEC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61A73FA"/>
    <w:multiLevelType w:val="hybridMultilevel"/>
    <w:tmpl w:val="2D5A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6757BC"/>
    <w:multiLevelType w:val="hybridMultilevel"/>
    <w:tmpl w:val="0846CB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1D4B10"/>
    <w:multiLevelType w:val="hybridMultilevel"/>
    <w:tmpl w:val="C8E8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34D"/>
    <w:rsid w:val="000C434D"/>
    <w:rsid w:val="000F6DD9"/>
    <w:rsid w:val="00247B5E"/>
    <w:rsid w:val="0037760A"/>
    <w:rsid w:val="003F2C51"/>
    <w:rsid w:val="004872E0"/>
    <w:rsid w:val="004D3587"/>
    <w:rsid w:val="005232B8"/>
    <w:rsid w:val="00525366"/>
    <w:rsid w:val="005C17A0"/>
    <w:rsid w:val="008F16EB"/>
    <w:rsid w:val="009926DA"/>
    <w:rsid w:val="00C0606E"/>
    <w:rsid w:val="00E47CA8"/>
    <w:rsid w:val="00E62D12"/>
    <w:rsid w:val="00E820E8"/>
    <w:rsid w:val="00F4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0C43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C434D"/>
    <w:rPr>
      <w:rFonts w:ascii="Times New Roman" w:eastAsia="Times New Roman" w:hAnsi="Times New Roman" w:cs="Times New Roman"/>
      <w:sz w:val="20"/>
      <w:szCs w:val="20"/>
    </w:rPr>
  </w:style>
  <w:style w:type="paragraph" w:styleId="NoSpacing">
    <w:name w:val="No Spacing"/>
    <w:uiPriority w:val="1"/>
    <w:qFormat/>
    <w:rsid w:val="000F6DD9"/>
    <w:pPr>
      <w:spacing w:after="0" w:line="240" w:lineRule="auto"/>
    </w:pPr>
  </w:style>
  <w:style w:type="paragraph" w:styleId="Header">
    <w:name w:val="header"/>
    <w:basedOn w:val="Normal"/>
    <w:link w:val="HeaderChar"/>
    <w:unhideWhenUsed/>
    <w:rsid w:val="004D3587"/>
    <w:pPr>
      <w:tabs>
        <w:tab w:val="center" w:pos="4680"/>
        <w:tab w:val="right" w:pos="9360"/>
      </w:tabs>
      <w:spacing w:after="0" w:line="240" w:lineRule="auto"/>
    </w:pPr>
  </w:style>
  <w:style w:type="character" w:customStyle="1" w:styleId="HeaderChar">
    <w:name w:val="Header Char"/>
    <w:basedOn w:val="DefaultParagraphFont"/>
    <w:link w:val="Header"/>
    <w:rsid w:val="004D3587"/>
  </w:style>
  <w:style w:type="paragraph" w:styleId="Footer">
    <w:name w:val="footer"/>
    <w:basedOn w:val="Normal"/>
    <w:link w:val="FooterChar"/>
    <w:uiPriority w:val="99"/>
    <w:unhideWhenUsed/>
    <w:rsid w:val="004D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587"/>
  </w:style>
  <w:style w:type="paragraph" w:styleId="BalloonText">
    <w:name w:val="Balloon Text"/>
    <w:basedOn w:val="Normal"/>
    <w:link w:val="BalloonTextChar"/>
    <w:uiPriority w:val="99"/>
    <w:semiHidden/>
    <w:unhideWhenUsed/>
    <w:rsid w:val="004D3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587"/>
    <w:rPr>
      <w:rFonts w:ascii="Tahoma" w:hAnsi="Tahoma" w:cs="Tahoma"/>
      <w:sz w:val="16"/>
      <w:szCs w:val="16"/>
    </w:rPr>
  </w:style>
  <w:style w:type="character" w:customStyle="1" w:styleId="A4">
    <w:name w:val="A4"/>
    <w:uiPriority w:val="99"/>
    <w:rsid w:val="00E47CA8"/>
    <w:rPr>
      <w:rFonts w:cs="Chaparral Pro"/>
      <w:color w:val="221E1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0C43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C434D"/>
    <w:rPr>
      <w:rFonts w:ascii="Times New Roman" w:eastAsia="Times New Roman" w:hAnsi="Times New Roman" w:cs="Times New Roman"/>
      <w:sz w:val="20"/>
      <w:szCs w:val="20"/>
    </w:rPr>
  </w:style>
  <w:style w:type="paragraph" w:styleId="NoSpacing">
    <w:name w:val="No Spacing"/>
    <w:uiPriority w:val="1"/>
    <w:qFormat/>
    <w:rsid w:val="000F6DD9"/>
    <w:pPr>
      <w:spacing w:after="0" w:line="240" w:lineRule="auto"/>
    </w:pPr>
  </w:style>
  <w:style w:type="paragraph" w:styleId="Header">
    <w:name w:val="header"/>
    <w:basedOn w:val="Normal"/>
    <w:link w:val="HeaderChar"/>
    <w:unhideWhenUsed/>
    <w:rsid w:val="004D3587"/>
    <w:pPr>
      <w:tabs>
        <w:tab w:val="center" w:pos="4680"/>
        <w:tab w:val="right" w:pos="9360"/>
      </w:tabs>
      <w:spacing w:after="0" w:line="240" w:lineRule="auto"/>
    </w:pPr>
  </w:style>
  <w:style w:type="character" w:customStyle="1" w:styleId="HeaderChar">
    <w:name w:val="Header Char"/>
    <w:basedOn w:val="DefaultParagraphFont"/>
    <w:link w:val="Header"/>
    <w:rsid w:val="004D3587"/>
  </w:style>
  <w:style w:type="paragraph" w:styleId="Footer">
    <w:name w:val="footer"/>
    <w:basedOn w:val="Normal"/>
    <w:link w:val="FooterChar"/>
    <w:uiPriority w:val="99"/>
    <w:unhideWhenUsed/>
    <w:rsid w:val="004D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587"/>
  </w:style>
  <w:style w:type="paragraph" w:styleId="BalloonText">
    <w:name w:val="Balloon Text"/>
    <w:basedOn w:val="Normal"/>
    <w:link w:val="BalloonTextChar"/>
    <w:uiPriority w:val="99"/>
    <w:semiHidden/>
    <w:unhideWhenUsed/>
    <w:rsid w:val="004D35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587"/>
    <w:rPr>
      <w:rFonts w:ascii="Tahoma" w:hAnsi="Tahoma" w:cs="Tahoma"/>
      <w:sz w:val="16"/>
      <w:szCs w:val="16"/>
    </w:rPr>
  </w:style>
  <w:style w:type="character" w:customStyle="1" w:styleId="A4">
    <w:name w:val="A4"/>
    <w:uiPriority w:val="99"/>
    <w:rsid w:val="00E47CA8"/>
    <w:rPr>
      <w:rFonts w:cs="Chaparral Pro"/>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Validity Screening Solutions</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C. Parks</dc:creator>
  <cp:lastModifiedBy>hnester</cp:lastModifiedBy>
  <cp:revision>2</cp:revision>
  <cp:lastPrinted>2015-06-24T21:14:00Z</cp:lastPrinted>
  <dcterms:created xsi:type="dcterms:W3CDTF">2016-05-31T20:56:00Z</dcterms:created>
  <dcterms:modified xsi:type="dcterms:W3CDTF">2016-05-31T20:56:00Z</dcterms:modified>
</cp:coreProperties>
</file>